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615DEE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 w:rsidR="00615DEE">
        <w:rPr>
          <w:b/>
          <w:bCs/>
          <w:sz w:val="28"/>
          <w:szCs w:val="28"/>
        </w:rPr>
        <w:t>и профессионального образования</w:t>
      </w:r>
    </w:p>
    <w:p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</w:t>
      </w:r>
      <w:r w:rsidR="00615DEE">
        <w:rPr>
          <w:b/>
          <w:bCs/>
          <w:sz w:val="28"/>
          <w:szCs w:val="28"/>
        </w:rPr>
        <w:t>с</w:t>
      </w:r>
      <w:r w:rsidRPr="00C64F91">
        <w:rPr>
          <w:b/>
          <w:bCs/>
          <w:sz w:val="28"/>
          <w:szCs w:val="28"/>
        </w:rPr>
        <w:t>ти</w:t>
      </w:r>
    </w:p>
    <w:p w:rsidR="00615DEE" w:rsidRPr="00C64F91" w:rsidRDefault="00615DEE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A605B0" w:rsidRPr="00B1240A" w:rsidRDefault="00A605B0" w:rsidP="00A605B0">
      <w:pPr>
        <w:jc w:val="center"/>
        <w:rPr>
          <w:sz w:val="32"/>
          <w:szCs w:val="32"/>
        </w:rPr>
      </w:pPr>
      <w:r w:rsidRPr="00B1240A">
        <w:rPr>
          <w:bCs/>
          <w:sz w:val="32"/>
          <w:szCs w:val="32"/>
        </w:rPr>
        <w:t>«</w:t>
      </w:r>
      <w:r w:rsidR="00B37439">
        <w:rPr>
          <w:b/>
          <w:sz w:val="32"/>
          <w:szCs w:val="32"/>
        </w:rPr>
        <w:t xml:space="preserve">Основы </w:t>
      </w:r>
      <w:r w:rsidR="0058545B">
        <w:rPr>
          <w:b/>
          <w:sz w:val="32"/>
          <w:szCs w:val="32"/>
        </w:rPr>
        <w:t>ради</w:t>
      </w:r>
      <w:r w:rsidR="00B37439">
        <w:rPr>
          <w:b/>
          <w:sz w:val="32"/>
          <w:szCs w:val="32"/>
        </w:rPr>
        <w:t>отехники</w:t>
      </w:r>
      <w:r w:rsidRPr="00B1240A">
        <w:rPr>
          <w:b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615DEE" w:rsidRDefault="00615DEE" w:rsidP="00615DE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615DEE">
        <w:rPr>
          <w:rFonts w:eastAsia="Calibri"/>
          <w:sz w:val="28"/>
          <w:szCs w:val="28"/>
        </w:rPr>
        <w:t>Основы радиотехники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615DEE" w:rsidRDefault="00615DEE" w:rsidP="00615DEE">
      <w:pPr>
        <w:rPr>
          <w:rFonts w:eastAsia="Calibri"/>
        </w:rPr>
      </w:pPr>
    </w:p>
    <w:p w:rsidR="00615DEE" w:rsidRDefault="00615DEE" w:rsidP="00615DEE">
      <w:pPr>
        <w:rPr>
          <w:rFonts w:eastAsia="Calibri"/>
        </w:rPr>
      </w:pPr>
    </w:p>
    <w:p w:rsidR="00615DEE" w:rsidRDefault="00615DEE" w:rsidP="00615DEE">
      <w:pPr>
        <w:rPr>
          <w:rFonts w:eastAsia="Calibri"/>
        </w:rPr>
      </w:pPr>
    </w:p>
    <w:p w:rsidR="00615DEE" w:rsidRDefault="00615DEE" w:rsidP="00615DE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615DEE" w:rsidRDefault="00615DEE" w:rsidP="00615DEE">
      <w:pPr>
        <w:rPr>
          <w:rFonts w:eastAsia="Calibri"/>
        </w:rPr>
      </w:pPr>
    </w:p>
    <w:p w:rsidR="00615DEE" w:rsidRDefault="00615DEE" w:rsidP="00615DEE">
      <w:pPr>
        <w:rPr>
          <w:rFonts w:eastAsia="Calibri"/>
        </w:rPr>
      </w:pPr>
    </w:p>
    <w:p w:rsidR="00615DEE" w:rsidRDefault="00615DEE" w:rsidP="00615DEE">
      <w:pPr>
        <w:rPr>
          <w:rFonts w:eastAsia="Calibri"/>
        </w:rPr>
      </w:pPr>
    </w:p>
    <w:p w:rsidR="00615DEE" w:rsidRDefault="00615DEE" w:rsidP="00615DEE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615DEE" w:rsidRDefault="00615DEE" w:rsidP="00615DEE">
      <w:pPr>
        <w:jc w:val="both"/>
        <w:rPr>
          <w:rFonts w:eastAsia="Calibri"/>
          <w:sz w:val="28"/>
          <w:szCs w:val="28"/>
        </w:rPr>
      </w:pPr>
    </w:p>
    <w:p w:rsidR="00615DEE" w:rsidRDefault="00615DEE" w:rsidP="00615DEE">
      <w:pPr>
        <w:rPr>
          <w:rFonts w:eastAsia="Calibri"/>
        </w:rPr>
      </w:pPr>
    </w:p>
    <w:p w:rsidR="00615DEE" w:rsidRDefault="00615DEE" w:rsidP="00615DEE">
      <w:pPr>
        <w:rPr>
          <w:rFonts w:eastAsia="Calibri"/>
        </w:rPr>
      </w:pPr>
    </w:p>
    <w:p w:rsidR="00615DEE" w:rsidRDefault="00615DEE" w:rsidP="00615DEE">
      <w:pPr>
        <w:rPr>
          <w:rFonts w:eastAsia="Calibri"/>
        </w:rPr>
      </w:pPr>
    </w:p>
    <w:p w:rsidR="00615DEE" w:rsidRDefault="00615DEE" w:rsidP="00615DEE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615DEE" w:rsidRDefault="00615DEE" w:rsidP="00615DEE">
      <w:pPr>
        <w:rPr>
          <w:rFonts w:eastAsia="Calibri"/>
        </w:rPr>
      </w:pPr>
    </w:p>
    <w:p w:rsidR="00615DEE" w:rsidRDefault="00615DEE" w:rsidP="00615DEE">
      <w:pPr>
        <w:rPr>
          <w:rFonts w:eastAsia="Calibri"/>
        </w:rPr>
      </w:pPr>
    </w:p>
    <w:p w:rsidR="00615DEE" w:rsidRDefault="00615DEE" w:rsidP="00615DE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615DEE" w:rsidRDefault="00615DEE" w:rsidP="00615DEE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615DEE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</w:t>
      </w:r>
      <w:r w:rsidR="00615DEE">
        <w:rPr>
          <w:b/>
          <w:sz w:val="28"/>
          <w:szCs w:val="28"/>
        </w:rPr>
        <w:t>.</w:t>
      </w:r>
      <w:r w:rsidRPr="00B1240A">
        <w:rPr>
          <w:b/>
          <w:sz w:val="28"/>
          <w:szCs w:val="28"/>
        </w:rPr>
        <w:t xml:space="preserve"> Описание показателей и критериев оценивания компетенций на ра</w:t>
      </w:r>
      <w:r w:rsidR="00615DEE">
        <w:rPr>
          <w:b/>
          <w:sz w:val="28"/>
          <w:szCs w:val="28"/>
        </w:rPr>
        <w:t>зличных этапах их формирования,</w:t>
      </w:r>
    </w:p>
    <w:p w:rsidR="00A605B0" w:rsidRPr="00B1240A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t>описание шкал оценивания</w:t>
      </w:r>
    </w:p>
    <w:p w:rsidR="00A605B0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498"/>
        <w:gridCol w:w="4700"/>
        <w:gridCol w:w="2817"/>
        <w:gridCol w:w="2572"/>
        <w:gridCol w:w="1715"/>
        <w:gridCol w:w="1855"/>
      </w:tblGrid>
      <w:tr w:rsidR="00615DEE" w:rsidRPr="00B1240A" w:rsidTr="003E0E71">
        <w:tc>
          <w:tcPr>
            <w:tcW w:w="1127" w:type="dxa"/>
            <w:gridSpan w:val="2"/>
            <w:vMerge w:val="restart"/>
            <w:textDirection w:val="btLr"/>
            <w:vAlign w:val="center"/>
          </w:tcPr>
          <w:p w:rsidR="00615DEE" w:rsidRPr="00974AD3" w:rsidRDefault="00615DEE" w:rsidP="003E0E71">
            <w:pPr>
              <w:ind w:left="113" w:right="113"/>
              <w:jc w:val="center"/>
              <w:rPr>
                <w:b/>
              </w:rPr>
            </w:pPr>
            <w:bookmarkStart w:id="0" w:name="_GoBack"/>
            <w:bookmarkEnd w:id="0"/>
            <w:r w:rsidRPr="00974AD3">
              <w:rPr>
                <w:b/>
              </w:rPr>
              <w:t>Шкала оценивания</w:t>
            </w:r>
          </w:p>
        </w:tc>
        <w:tc>
          <w:tcPr>
            <w:tcW w:w="4700" w:type="dxa"/>
            <w:vMerge w:val="restart"/>
            <w:shd w:val="clear" w:color="auto" w:fill="auto"/>
            <w:vAlign w:val="center"/>
          </w:tcPr>
          <w:p w:rsidR="00615DEE" w:rsidRPr="00974AD3" w:rsidRDefault="00615DEE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8959" w:type="dxa"/>
            <w:gridSpan w:val="4"/>
            <w:shd w:val="clear" w:color="auto" w:fill="auto"/>
            <w:vAlign w:val="center"/>
          </w:tcPr>
          <w:p w:rsidR="00615DEE" w:rsidRPr="00974AD3" w:rsidRDefault="00615DEE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615DEE" w:rsidRPr="00B1240A" w:rsidTr="003E0E71">
        <w:trPr>
          <w:trHeight w:val="1560"/>
        </w:trPr>
        <w:tc>
          <w:tcPr>
            <w:tcW w:w="1127" w:type="dxa"/>
            <w:gridSpan w:val="2"/>
            <w:vMerge/>
            <w:vAlign w:val="center"/>
          </w:tcPr>
          <w:p w:rsidR="00615DEE" w:rsidRPr="00974AD3" w:rsidRDefault="00615DEE" w:rsidP="003E0E71">
            <w:pPr>
              <w:jc w:val="center"/>
              <w:rPr>
                <w:b/>
              </w:rPr>
            </w:pPr>
          </w:p>
        </w:tc>
        <w:tc>
          <w:tcPr>
            <w:tcW w:w="4700" w:type="dxa"/>
            <w:vMerge/>
            <w:shd w:val="clear" w:color="auto" w:fill="auto"/>
            <w:vAlign w:val="center"/>
          </w:tcPr>
          <w:p w:rsidR="00615DEE" w:rsidRPr="00974AD3" w:rsidRDefault="00615DEE" w:rsidP="003E0E71">
            <w:pPr>
              <w:jc w:val="center"/>
              <w:rPr>
                <w:b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15DEE" w:rsidRPr="00974AD3" w:rsidRDefault="00615DEE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>
              <w:rPr>
                <w:b/>
                <w:lang w:eastAsia="en-US"/>
              </w:rPr>
              <w:t xml:space="preserve"> / «не зачтено»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15DEE" w:rsidRPr="00974AD3" w:rsidRDefault="00615DEE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«удовлетво</w:t>
            </w:r>
            <w:r>
              <w:rPr>
                <w:b/>
                <w:lang w:eastAsia="en-US"/>
              </w:rPr>
              <w:t>р</w:t>
            </w:r>
            <w:r w:rsidRPr="00974AD3">
              <w:rPr>
                <w:b/>
                <w:lang w:eastAsia="en-US"/>
              </w:rPr>
              <w:t>ительно»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15DEE" w:rsidRPr="00974AD3" w:rsidRDefault="00615DEE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615DEE" w:rsidRPr="00974AD3" w:rsidRDefault="00615DEE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>
              <w:rPr>
                <w:b/>
                <w:lang w:eastAsia="en-US"/>
              </w:rPr>
              <w:t>/ «зачтено»</w:t>
            </w:r>
          </w:p>
        </w:tc>
      </w:tr>
      <w:tr w:rsidR="00615DEE" w:rsidRPr="00B1240A" w:rsidTr="003E0E71">
        <w:tc>
          <w:tcPr>
            <w:tcW w:w="629" w:type="dxa"/>
            <w:vMerge w:val="restart"/>
            <w:textDirection w:val="btLr"/>
            <w:vAlign w:val="center"/>
          </w:tcPr>
          <w:p w:rsidR="00615DEE" w:rsidRPr="007C02EB" w:rsidRDefault="00615DEE" w:rsidP="003E0E71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15DEE" w:rsidRPr="007C02EB" w:rsidRDefault="00615DEE" w:rsidP="003E0E7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615DEE" w:rsidRPr="00231D2B" w:rsidRDefault="00615DEE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15DEE" w:rsidRDefault="00615DEE" w:rsidP="003E0E71">
            <w:pPr>
              <w:jc w:val="center"/>
            </w:pPr>
            <w:r w:rsidRPr="00B1240A">
              <w:t>Не знает.</w:t>
            </w:r>
          </w:p>
          <w:p w:rsidR="00615DEE" w:rsidRPr="00B1240A" w:rsidRDefault="00615DEE" w:rsidP="003E0E71">
            <w:pPr>
              <w:jc w:val="center"/>
            </w:pP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615DEE" w:rsidRPr="00B1240A" w:rsidTr="003E0E71">
        <w:tc>
          <w:tcPr>
            <w:tcW w:w="629" w:type="dxa"/>
            <w:vMerge/>
          </w:tcPr>
          <w:p w:rsidR="00615DEE" w:rsidRPr="00B1240A" w:rsidRDefault="00615DEE" w:rsidP="003E0E71"/>
        </w:tc>
        <w:tc>
          <w:tcPr>
            <w:tcW w:w="498" w:type="dxa"/>
            <w:vMerge/>
          </w:tcPr>
          <w:p w:rsidR="00615DEE" w:rsidRPr="00B1240A" w:rsidRDefault="00615DEE" w:rsidP="003E0E71"/>
        </w:tc>
        <w:tc>
          <w:tcPr>
            <w:tcW w:w="4700" w:type="dxa"/>
            <w:shd w:val="clear" w:color="auto" w:fill="auto"/>
            <w:vAlign w:val="center"/>
          </w:tcPr>
          <w:p w:rsidR="00615DEE" w:rsidRPr="00231D2B" w:rsidRDefault="00615DEE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15DEE" w:rsidRDefault="00615DEE" w:rsidP="003E0E71">
            <w:pPr>
              <w:jc w:val="center"/>
            </w:pPr>
            <w:r w:rsidRPr="00B1240A">
              <w:t>Не умеет.</w:t>
            </w:r>
          </w:p>
          <w:p w:rsidR="00615DEE" w:rsidRPr="00B1240A" w:rsidRDefault="00615DEE" w:rsidP="003E0E71">
            <w:pPr>
              <w:jc w:val="center"/>
            </w:pP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615DEE" w:rsidRPr="00B1240A" w:rsidTr="003E0E71">
        <w:trPr>
          <w:trHeight w:val="416"/>
        </w:trPr>
        <w:tc>
          <w:tcPr>
            <w:tcW w:w="629" w:type="dxa"/>
            <w:vMerge/>
          </w:tcPr>
          <w:p w:rsidR="00615DEE" w:rsidRPr="00B1240A" w:rsidRDefault="00615DEE" w:rsidP="003E0E71"/>
        </w:tc>
        <w:tc>
          <w:tcPr>
            <w:tcW w:w="498" w:type="dxa"/>
            <w:vMerge/>
          </w:tcPr>
          <w:p w:rsidR="00615DEE" w:rsidRPr="00B1240A" w:rsidRDefault="00615DEE" w:rsidP="003E0E71"/>
        </w:tc>
        <w:tc>
          <w:tcPr>
            <w:tcW w:w="4700" w:type="dxa"/>
            <w:shd w:val="clear" w:color="auto" w:fill="auto"/>
            <w:vAlign w:val="center"/>
          </w:tcPr>
          <w:p w:rsidR="00615DEE" w:rsidRPr="00231D2B" w:rsidRDefault="00615DEE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15DEE" w:rsidRDefault="00615DEE" w:rsidP="003E0E71">
            <w:pPr>
              <w:jc w:val="center"/>
            </w:pPr>
            <w:r w:rsidRPr="00B1240A">
              <w:t>Не владеет.</w:t>
            </w:r>
          </w:p>
          <w:p w:rsidR="00615DEE" w:rsidRPr="00B1240A" w:rsidRDefault="00615DEE" w:rsidP="003E0E71">
            <w:pPr>
              <w:jc w:val="center"/>
            </w:pP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615DEE" w:rsidRPr="00B1240A" w:rsidTr="003E0E71">
        <w:trPr>
          <w:trHeight w:val="416"/>
        </w:trPr>
        <w:tc>
          <w:tcPr>
            <w:tcW w:w="629" w:type="dxa"/>
            <w:vMerge/>
          </w:tcPr>
          <w:p w:rsidR="00615DEE" w:rsidRPr="00B1240A" w:rsidRDefault="00615DEE" w:rsidP="003E0E71"/>
        </w:tc>
        <w:tc>
          <w:tcPr>
            <w:tcW w:w="498" w:type="dxa"/>
            <w:vMerge w:val="restart"/>
            <w:textDirection w:val="btLr"/>
            <w:vAlign w:val="center"/>
          </w:tcPr>
          <w:p w:rsidR="00615DEE" w:rsidRPr="00B1240A" w:rsidRDefault="00615DEE" w:rsidP="003E0E71">
            <w:pPr>
              <w:ind w:left="113" w:right="113"/>
              <w:jc w:val="center"/>
            </w:pPr>
            <w:r>
              <w:rPr>
                <w:b/>
              </w:rPr>
              <w:t>ПК-2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615DEE" w:rsidRPr="00231D2B" w:rsidRDefault="00615DEE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>основных положений и концепций в области математики и физики (физико-</w:t>
            </w:r>
            <w:r w:rsidRPr="00F122B8">
              <w:rPr>
                <w:rFonts w:eastAsia="Calibri"/>
              </w:rPr>
              <w:lastRenderedPageBreak/>
              <w:t xml:space="preserve">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15DEE" w:rsidRDefault="00615DEE" w:rsidP="003E0E71">
            <w:pPr>
              <w:jc w:val="center"/>
            </w:pPr>
            <w:r w:rsidRPr="00B1240A">
              <w:lastRenderedPageBreak/>
              <w:t>Не знает.</w:t>
            </w:r>
          </w:p>
          <w:p w:rsidR="00615DEE" w:rsidRPr="00B1240A" w:rsidRDefault="00615DEE" w:rsidP="003E0E71">
            <w:pPr>
              <w:jc w:val="center"/>
            </w:pP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 xml:space="preserve">Знает достаточно в базовом </w:t>
            </w:r>
            <w:r w:rsidRPr="00B1240A">
              <w:lastRenderedPageBreak/>
              <w:t>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lastRenderedPageBreak/>
              <w:t>Демонстрирует высокий уровень знаний</w:t>
            </w:r>
          </w:p>
        </w:tc>
      </w:tr>
      <w:tr w:rsidR="00615DEE" w:rsidRPr="00B1240A" w:rsidTr="003E0E71">
        <w:trPr>
          <w:trHeight w:val="416"/>
        </w:trPr>
        <w:tc>
          <w:tcPr>
            <w:tcW w:w="629" w:type="dxa"/>
            <w:vMerge/>
          </w:tcPr>
          <w:p w:rsidR="00615DEE" w:rsidRPr="00B1240A" w:rsidRDefault="00615DEE" w:rsidP="003E0E71"/>
        </w:tc>
        <w:tc>
          <w:tcPr>
            <w:tcW w:w="498" w:type="dxa"/>
            <w:vMerge/>
          </w:tcPr>
          <w:p w:rsidR="00615DEE" w:rsidRPr="00B1240A" w:rsidRDefault="00615DEE" w:rsidP="003E0E71"/>
        </w:tc>
        <w:tc>
          <w:tcPr>
            <w:tcW w:w="4700" w:type="dxa"/>
            <w:shd w:val="clear" w:color="auto" w:fill="auto"/>
            <w:vAlign w:val="center"/>
          </w:tcPr>
          <w:p w:rsidR="00615DEE" w:rsidRPr="00231D2B" w:rsidRDefault="00615DEE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15DEE" w:rsidRDefault="00615DEE" w:rsidP="003E0E71">
            <w:pPr>
              <w:jc w:val="center"/>
            </w:pPr>
            <w:r w:rsidRPr="00B1240A">
              <w:t>Не умеет.</w:t>
            </w:r>
          </w:p>
          <w:p w:rsidR="00615DEE" w:rsidRPr="00B1240A" w:rsidRDefault="00615DEE" w:rsidP="003E0E71">
            <w:pPr>
              <w:jc w:val="center"/>
            </w:pP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615DEE" w:rsidRPr="00B1240A" w:rsidTr="003E0E71">
        <w:trPr>
          <w:trHeight w:val="416"/>
        </w:trPr>
        <w:tc>
          <w:tcPr>
            <w:tcW w:w="629" w:type="dxa"/>
            <w:vMerge/>
          </w:tcPr>
          <w:p w:rsidR="00615DEE" w:rsidRPr="00B1240A" w:rsidRDefault="00615DEE" w:rsidP="003E0E71"/>
        </w:tc>
        <w:tc>
          <w:tcPr>
            <w:tcW w:w="498" w:type="dxa"/>
            <w:vMerge/>
          </w:tcPr>
          <w:p w:rsidR="00615DEE" w:rsidRPr="00B1240A" w:rsidRDefault="00615DEE" w:rsidP="003E0E71"/>
        </w:tc>
        <w:tc>
          <w:tcPr>
            <w:tcW w:w="4700" w:type="dxa"/>
            <w:shd w:val="clear" w:color="auto" w:fill="auto"/>
            <w:vAlign w:val="center"/>
          </w:tcPr>
          <w:p w:rsidR="00615DEE" w:rsidRPr="00231D2B" w:rsidRDefault="00615DEE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15DEE" w:rsidRDefault="00615DEE" w:rsidP="003E0E71">
            <w:pPr>
              <w:jc w:val="center"/>
            </w:pPr>
            <w:r w:rsidRPr="00B1240A">
              <w:t>Не владеет.</w:t>
            </w:r>
          </w:p>
          <w:p w:rsidR="00615DEE" w:rsidRPr="00B1240A" w:rsidRDefault="00615DEE" w:rsidP="003E0E71">
            <w:pPr>
              <w:jc w:val="center"/>
            </w:pP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615DEE" w:rsidRPr="00B1240A" w:rsidTr="003E0E71">
        <w:trPr>
          <w:trHeight w:val="416"/>
        </w:trPr>
        <w:tc>
          <w:tcPr>
            <w:tcW w:w="629" w:type="dxa"/>
            <w:vMerge/>
          </w:tcPr>
          <w:p w:rsidR="00615DEE" w:rsidRPr="00B1240A" w:rsidRDefault="00615DEE" w:rsidP="003E0E71"/>
        </w:tc>
        <w:tc>
          <w:tcPr>
            <w:tcW w:w="498" w:type="dxa"/>
            <w:vMerge w:val="restart"/>
            <w:textDirection w:val="btLr"/>
            <w:vAlign w:val="center"/>
          </w:tcPr>
          <w:p w:rsidR="00615DEE" w:rsidRPr="00B1240A" w:rsidRDefault="00615DEE" w:rsidP="003E0E71">
            <w:pPr>
              <w:ind w:left="113" w:right="113"/>
              <w:jc w:val="center"/>
            </w:pPr>
            <w:r>
              <w:rPr>
                <w:b/>
              </w:rPr>
              <w:t>ПК-3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615DEE" w:rsidRPr="00231D2B" w:rsidRDefault="00615DEE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ПК-3.1 </w:t>
            </w:r>
            <w:r w:rsidRPr="00231D2B">
              <w:rPr>
                <w:rFonts w:eastAsia="Calibri"/>
              </w:rPr>
              <w:t xml:space="preserve">Знает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15DEE" w:rsidRDefault="00615DEE" w:rsidP="003E0E71">
            <w:pPr>
              <w:jc w:val="center"/>
            </w:pPr>
            <w:r w:rsidRPr="00B1240A">
              <w:t>Не знает.</w:t>
            </w:r>
          </w:p>
          <w:p w:rsidR="00615DEE" w:rsidRPr="00B1240A" w:rsidRDefault="00615DEE" w:rsidP="003E0E71">
            <w:pPr>
              <w:jc w:val="center"/>
            </w:pP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615DEE" w:rsidRPr="00B1240A" w:rsidTr="003E0E71">
        <w:trPr>
          <w:trHeight w:val="416"/>
        </w:trPr>
        <w:tc>
          <w:tcPr>
            <w:tcW w:w="629" w:type="dxa"/>
            <w:vMerge/>
          </w:tcPr>
          <w:p w:rsidR="00615DEE" w:rsidRPr="00B1240A" w:rsidRDefault="00615DEE" w:rsidP="003E0E71"/>
        </w:tc>
        <w:tc>
          <w:tcPr>
            <w:tcW w:w="498" w:type="dxa"/>
            <w:vMerge/>
            <w:vAlign w:val="center"/>
          </w:tcPr>
          <w:p w:rsidR="00615DEE" w:rsidRPr="00B1240A" w:rsidRDefault="00615DEE" w:rsidP="003E0E71">
            <w:pPr>
              <w:jc w:val="center"/>
            </w:pPr>
          </w:p>
        </w:tc>
        <w:tc>
          <w:tcPr>
            <w:tcW w:w="4700" w:type="dxa"/>
            <w:shd w:val="clear" w:color="auto" w:fill="auto"/>
            <w:vAlign w:val="center"/>
          </w:tcPr>
          <w:p w:rsidR="00615DEE" w:rsidRPr="00231D2B" w:rsidRDefault="00615DEE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ПК-3.2 </w:t>
            </w:r>
            <w:r w:rsidRPr="00231D2B">
              <w:rPr>
                <w:rFonts w:eastAsia="Calibri"/>
              </w:rPr>
              <w:t xml:space="preserve">Умеет применять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15DEE" w:rsidRDefault="00615DEE" w:rsidP="003E0E71">
            <w:pPr>
              <w:jc w:val="center"/>
            </w:pPr>
            <w:r w:rsidRPr="00B1240A">
              <w:t>Не умеет.</w:t>
            </w:r>
          </w:p>
          <w:p w:rsidR="00615DEE" w:rsidRPr="00B1240A" w:rsidRDefault="00615DEE" w:rsidP="003E0E71">
            <w:pPr>
              <w:jc w:val="center"/>
            </w:pP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615DEE" w:rsidRPr="00B1240A" w:rsidTr="003E0E71">
        <w:trPr>
          <w:trHeight w:val="416"/>
        </w:trPr>
        <w:tc>
          <w:tcPr>
            <w:tcW w:w="629" w:type="dxa"/>
            <w:vMerge/>
          </w:tcPr>
          <w:p w:rsidR="00615DEE" w:rsidRPr="00B1240A" w:rsidRDefault="00615DEE" w:rsidP="003E0E71"/>
        </w:tc>
        <w:tc>
          <w:tcPr>
            <w:tcW w:w="498" w:type="dxa"/>
            <w:vMerge/>
            <w:vAlign w:val="center"/>
          </w:tcPr>
          <w:p w:rsidR="00615DEE" w:rsidRPr="00B1240A" w:rsidRDefault="00615DEE" w:rsidP="003E0E71">
            <w:pPr>
              <w:jc w:val="center"/>
            </w:pPr>
          </w:p>
        </w:tc>
        <w:tc>
          <w:tcPr>
            <w:tcW w:w="4700" w:type="dxa"/>
            <w:shd w:val="clear" w:color="auto" w:fill="auto"/>
            <w:vAlign w:val="center"/>
          </w:tcPr>
          <w:p w:rsidR="00615DEE" w:rsidRPr="00231D2B" w:rsidRDefault="00615DEE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ПК-3.3 </w:t>
            </w:r>
            <w:r w:rsidRPr="00231D2B">
              <w:rPr>
                <w:rFonts w:eastAsia="Calibri"/>
              </w:rPr>
              <w:t xml:space="preserve">Владеет 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15DEE" w:rsidRDefault="00615DEE" w:rsidP="003E0E71">
            <w:pPr>
              <w:jc w:val="center"/>
            </w:pPr>
            <w:r w:rsidRPr="00B1240A">
              <w:t>Не владеет.</w:t>
            </w:r>
          </w:p>
          <w:p w:rsidR="00615DEE" w:rsidRPr="00B1240A" w:rsidRDefault="00615DEE" w:rsidP="003E0E71">
            <w:pPr>
              <w:jc w:val="center"/>
            </w:pP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615DEE" w:rsidRPr="00B1240A" w:rsidRDefault="00615DEE" w:rsidP="003E0E71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615DEE" w:rsidRPr="00A605B0" w:rsidRDefault="00615DEE" w:rsidP="00615DEE"/>
    <w:p w:rsidR="00B30713" w:rsidRPr="00A605B0" w:rsidRDefault="00B30713"/>
    <w:p w:rsidR="00974AD3" w:rsidRDefault="00974AD3">
      <w:pPr>
        <w:sectPr w:rsidR="00974AD3" w:rsidSect="00974AD3">
          <w:headerReference w:type="default" r:id="rId7"/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CF0C05" w:rsidRPr="00256DC8" w:rsidRDefault="00CF0C05" w:rsidP="00574D08">
      <w:pPr>
        <w:rPr>
          <w:rFonts w:eastAsia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12437"/>
        <w:gridCol w:w="1650"/>
      </w:tblGrid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  <w:lang w:val="en-US"/>
              </w:rPr>
              <w:t>N</w:t>
            </w:r>
            <w:r w:rsidRPr="0007011B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</w:tcPr>
          <w:p w:rsidR="002425F6" w:rsidRPr="0007011B" w:rsidRDefault="002425F6" w:rsidP="006A27B2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</w:tcPr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Какая задача типично решается в схемотехническом симуляторе (SPICE-класса) на этапе эскизного проектирования: 1. Вычисление траектории спутника.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2. </w:t>
            </w:r>
            <w:proofErr w:type="spellStart"/>
            <w:r>
              <w:t>Транзиентный</w:t>
            </w:r>
            <w:proofErr w:type="spellEnd"/>
            <w:r>
              <w:t xml:space="preserve"> анализ отклика RC-фильтра на ступеньку.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3. Растеризация векторной графики. </w:t>
            </w:r>
          </w:p>
          <w:p w:rsidR="002425F6" w:rsidRPr="0007011B" w:rsidRDefault="0058545B" w:rsidP="00B37439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>4. Сжатие аудио в формат MP3.</w:t>
            </w:r>
          </w:p>
        </w:tc>
        <w:tc>
          <w:tcPr>
            <w:tcW w:w="1650" w:type="dxa"/>
          </w:tcPr>
          <w:p w:rsidR="002425F6" w:rsidRPr="0007011B" w:rsidRDefault="00D20A41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  <w:tc>
          <w:tcPr>
            <w:tcW w:w="12437" w:type="dxa"/>
          </w:tcPr>
          <w:p w:rsidR="0058545B" w:rsidRDefault="0058545B" w:rsidP="0007011B">
            <w:pPr>
              <w:shd w:val="clear" w:color="auto" w:fill="FFFFFF"/>
              <w:jc w:val="both"/>
            </w:pPr>
            <w:r>
              <w:t xml:space="preserve">Какие типы анализа симуляторы SPICE предоставляют «из коробки»: </w:t>
            </w:r>
          </w:p>
          <w:p w:rsidR="0058545B" w:rsidRDefault="0058545B" w:rsidP="0007011B">
            <w:pPr>
              <w:shd w:val="clear" w:color="auto" w:fill="FFFFFF"/>
              <w:jc w:val="both"/>
            </w:pPr>
            <w:r>
              <w:t xml:space="preserve">1. AC (частотный). </w:t>
            </w:r>
          </w:p>
          <w:p w:rsidR="0058545B" w:rsidRDefault="0058545B" w:rsidP="0007011B">
            <w:pPr>
              <w:shd w:val="clear" w:color="auto" w:fill="FFFFFF"/>
              <w:jc w:val="both"/>
            </w:pPr>
            <w:r>
              <w:t xml:space="preserve">2. </w:t>
            </w:r>
            <w:proofErr w:type="spellStart"/>
            <w:r>
              <w:t>Monte-Carlo</w:t>
            </w:r>
            <w:proofErr w:type="spellEnd"/>
            <w:r>
              <w:t xml:space="preserve"> по разбросам компонентов. </w:t>
            </w:r>
          </w:p>
          <w:p w:rsidR="0058545B" w:rsidRDefault="0058545B" w:rsidP="0007011B">
            <w:pPr>
              <w:shd w:val="clear" w:color="auto" w:fill="FFFFFF"/>
              <w:jc w:val="both"/>
            </w:pPr>
            <w:r>
              <w:t xml:space="preserve">3. CFD (газодинамика). </w:t>
            </w:r>
          </w:p>
          <w:p w:rsidR="002425F6" w:rsidRPr="00B37439" w:rsidRDefault="0058545B" w:rsidP="0007011B">
            <w:pPr>
              <w:shd w:val="clear" w:color="auto" w:fill="FFFFFF"/>
              <w:jc w:val="both"/>
            </w:pPr>
            <w:r>
              <w:t>4. Рендеринг 3D-сцен.</w:t>
            </w:r>
          </w:p>
        </w:tc>
        <w:tc>
          <w:tcPr>
            <w:tcW w:w="1650" w:type="dxa"/>
          </w:tcPr>
          <w:p w:rsidR="002425F6" w:rsidRPr="0007011B" w:rsidRDefault="00D20A41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  <w:tc>
          <w:tcPr>
            <w:tcW w:w="12437" w:type="dxa"/>
          </w:tcPr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Какой параметр вы оцените по графику спектра (FFT) в цифровом осциллографе/ПО обработки сигналов?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1. Сопротивление изоляции платы.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2. Частоту доминирующей гармоники.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3. Теплопроводность подложки. </w:t>
            </w:r>
          </w:p>
          <w:p w:rsidR="002F2074" w:rsidRPr="0007011B" w:rsidRDefault="0058545B" w:rsidP="00B37439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>4. Угол наклона АЧХ на лог-лог шкале Боде</w:t>
            </w:r>
          </w:p>
        </w:tc>
        <w:tc>
          <w:tcPr>
            <w:tcW w:w="1650" w:type="dxa"/>
          </w:tcPr>
          <w:p w:rsidR="002F2074" w:rsidRPr="0007011B" w:rsidRDefault="00D20A41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  <w:tc>
          <w:tcPr>
            <w:tcW w:w="12437" w:type="dxa"/>
          </w:tcPr>
          <w:p w:rsidR="0058545B" w:rsidRDefault="0058545B" w:rsidP="0007011B">
            <w:pPr>
              <w:shd w:val="clear" w:color="auto" w:fill="FFFFFF"/>
              <w:jc w:val="both"/>
            </w:pPr>
            <w:r>
              <w:t xml:space="preserve">Для проверки теоремы Котельникова–Найквиста в среде моделирования вы: </w:t>
            </w:r>
          </w:p>
          <w:p w:rsidR="0058545B" w:rsidRDefault="0058545B" w:rsidP="0007011B">
            <w:pPr>
              <w:shd w:val="clear" w:color="auto" w:fill="FFFFFF"/>
              <w:jc w:val="both"/>
            </w:pPr>
            <w:r>
              <w:t xml:space="preserve">1. Берёте частоту дискретизации более чем в 2 раза выше максимальной частоты сигнала. </w:t>
            </w:r>
          </w:p>
          <w:p w:rsidR="0058545B" w:rsidRDefault="0058545B" w:rsidP="0007011B">
            <w:pPr>
              <w:shd w:val="clear" w:color="auto" w:fill="FFFFFF"/>
              <w:jc w:val="both"/>
            </w:pPr>
            <w:r>
              <w:t xml:space="preserve">2. Применяете </w:t>
            </w:r>
            <w:proofErr w:type="spellStart"/>
            <w:r>
              <w:t>антиалиасинговый</w:t>
            </w:r>
            <w:proofErr w:type="spellEnd"/>
            <w:r>
              <w:t xml:space="preserve"> фильтр перед АЦП. </w:t>
            </w:r>
          </w:p>
          <w:p w:rsidR="0058545B" w:rsidRDefault="0058545B" w:rsidP="0007011B">
            <w:pPr>
              <w:shd w:val="clear" w:color="auto" w:fill="FFFFFF"/>
              <w:jc w:val="both"/>
            </w:pPr>
            <w:r>
              <w:t xml:space="preserve">3. Увеличиваете разрядность ЦАП до 32 бит. </w:t>
            </w:r>
          </w:p>
          <w:p w:rsidR="002F2074" w:rsidRPr="0007011B" w:rsidRDefault="0058545B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>4. Включаете сглаживание сплайнами после дискретизации</w:t>
            </w:r>
          </w:p>
        </w:tc>
        <w:tc>
          <w:tcPr>
            <w:tcW w:w="1650" w:type="dxa"/>
          </w:tcPr>
          <w:p w:rsidR="002F2074" w:rsidRPr="0007011B" w:rsidRDefault="00D20A41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5</w:t>
            </w:r>
          </w:p>
        </w:tc>
        <w:tc>
          <w:tcPr>
            <w:tcW w:w="12437" w:type="dxa"/>
          </w:tcPr>
          <w:p w:rsidR="0058545B" w:rsidRDefault="0058545B" w:rsidP="0007011B">
            <w:pPr>
              <w:shd w:val="clear" w:color="auto" w:fill="FFFFFF"/>
              <w:jc w:val="both"/>
            </w:pPr>
            <w:r>
              <w:t xml:space="preserve">Какой набор параметров S-параметров достаточно смоделировать для двухполюсного фильтра? </w:t>
            </w:r>
          </w:p>
          <w:p w:rsidR="0058545B" w:rsidRPr="00615DEE" w:rsidRDefault="0058545B" w:rsidP="0007011B">
            <w:pPr>
              <w:shd w:val="clear" w:color="auto" w:fill="FFFFFF"/>
              <w:jc w:val="both"/>
              <w:rPr>
                <w:lang w:val="en-US"/>
              </w:rPr>
            </w:pPr>
            <w:r w:rsidRPr="00615DEE">
              <w:rPr>
                <w:lang w:val="en-US"/>
              </w:rPr>
              <w:t xml:space="preserve">1. S11 </w:t>
            </w:r>
            <w:r>
              <w:t>и</w:t>
            </w:r>
            <w:r w:rsidRPr="00615DEE">
              <w:rPr>
                <w:lang w:val="en-US"/>
              </w:rPr>
              <w:t xml:space="preserve"> S21. </w:t>
            </w:r>
          </w:p>
          <w:p w:rsidR="0058545B" w:rsidRPr="00615DEE" w:rsidRDefault="0058545B" w:rsidP="0007011B">
            <w:pPr>
              <w:shd w:val="clear" w:color="auto" w:fill="FFFFFF"/>
              <w:jc w:val="both"/>
              <w:rPr>
                <w:lang w:val="en-US"/>
              </w:rPr>
            </w:pPr>
            <w:r w:rsidRPr="00615DEE">
              <w:rPr>
                <w:lang w:val="en-US"/>
              </w:rPr>
              <w:t xml:space="preserve">2. S12 </w:t>
            </w:r>
            <w:r>
              <w:t>и</w:t>
            </w:r>
            <w:r w:rsidRPr="00615DEE">
              <w:rPr>
                <w:lang w:val="en-US"/>
              </w:rPr>
              <w:t xml:space="preserve"> S22 </w:t>
            </w:r>
            <w:r>
              <w:t>только</w:t>
            </w:r>
          </w:p>
          <w:p w:rsidR="0058545B" w:rsidRDefault="0058545B" w:rsidP="0007011B">
            <w:pPr>
              <w:shd w:val="clear" w:color="auto" w:fill="FFFFFF"/>
              <w:jc w:val="both"/>
            </w:pPr>
            <w:r>
              <w:t xml:space="preserve">3. Z11 и Z12. </w:t>
            </w:r>
          </w:p>
          <w:p w:rsidR="002F2074" w:rsidRPr="0007011B" w:rsidRDefault="0058545B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>4. Y21 и Y22</w:t>
            </w:r>
          </w:p>
        </w:tc>
        <w:tc>
          <w:tcPr>
            <w:tcW w:w="1650" w:type="dxa"/>
          </w:tcPr>
          <w:p w:rsidR="002F2074" w:rsidRPr="0007011B" w:rsidRDefault="00D20A41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6.</w:t>
            </w:r>
          </w:p>
        </w:tc>
        <w:tc>
          <w:tcPr>
            <w:tcW w:w="12437" w:type="dxa"/>
          </w:tcPr>
          <w:p w:rsidR="0058545B" w:rsidRDefault="0058545B" w:rsidP="00B37439">
            <w:pPr>
              <w:shd w:val="clear" w:color="auto" w:fill="FFFFFF"/>
              <w:jc w:val="both"/>
            </w:pPr>
            <w:r>
              <w:t>Что из перечисленного помогает обеспечить согласование по входу на частоте f</w:t>
            </w:r>
            <w:r>
              <w:rPr>
                <w:rFonts w:ascii="Cambria Math" w:hAnsi="Cambria Math" w:cs="Cambria Math"/>
              </w:rPr>
              <w:t>₀</w:t>
            </w:r>
            <w:r>
              <w:t xml:space="preserve"> в СВЧ-САПР?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1. Использование диаграммы Смита для подбора L-сети.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lastRenderedPageBreak/>
              <w:t xml:space="preserve">2. Выбор окна Хэмминга в FFT.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3. Автоматика триггера осциллографа. </w:t>
            </w:r>
          </w:p>
          <w:p w:rsidR="002F2074" w:rsidRPr="0007011B" w:rsidRDefault="0058545B" w:rsidP="00B3743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4. Оптимизация компонентов с целевой |S11| минимальной на f</w:t>
            </w:r>
            <w:r>
              <w:rPr>
                <w:rFonts w:ascii="Cambria Math" w:hAnsi="Cambria Math" w:cs="Cambria Math"/>
              </w:rPr>
              <w:t>₀</w:t>
            </w:r>
          </w:p>
        </w:tc>
        <w:tc>
          <w:tcPr>
            <w:tcW w:w="1650" w:type="dxa"/>
          </w:tcPr>
          <w:p w:rsidR="002F2074" w:rsidRPr="0007011B" w:rsidRDefault="00D20A41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4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7</w:t>
            </w:r>
          </w:p>
        </w:tc>
        <w:tc>
          <w:tcPr>
            <w:tcW w:w="12437" w:type="dxa"/>
          </w:tcPr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Что означает «-3 </w:t>
            </w:r>
            <w:proofErr w:type="spellStart"/>
            <w:r>
              <w:t>dB</w:t>
            </w:r>
            <w:proofErr w:type="spellEnd"/>
            <w:r>
              <w:t xml:space="preserve"> точка» на АЧХ фильтра в отчёте симулятора?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>1. Уровень шума схемы.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>2. Частоту, где мощность падает вдвое.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3. Частоту, где напряжение удваивается. </w:t>
            </w:r>
          </w:p>
          <w:p w:rsidR="002F2074" w:rsidRPr="0007011B" w:rsidRDefault="0058545B" w:rsidP="00B3743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4. Точку нулевого фазового сдвига.</w:t>
            </w:r>
          </w:p>
        </w:tc>
        <w:tc>
          <w:tcPr>
            <w:tcW w:w="1650" w:type="dxa"/>
          </w:tcPr>
          <w:p w:rsidR="002F2074" w:rsidRPr="0007011B" w:rsidRDefault="00036316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8</w:t>
            </w:r>
          </w:p>
        </w:tc>
        <w:tc>
          <w:tcPr>
            <w:tcW w:w="12437" w:type="dxa"/>
          </w:tcPr>
          <w:p w:rsidR="0058545B" w:rsidRDefault="0058545B" w:rsidP="006A27B2">
            <w:pPr>
              <w:shd w:val="clear" w:color="auto" w:fill="FFFFFF"/>
              <w:jc w:val="both"/>
            </w:pPr>
            <w:r>
              <w:t xml:space="preserve">Для быстрой проверки устойчивости усилителя в частотной области в ПО вы анализируете: </w:t>
            </w:r>
          </w:p>
          <w:p w:rsidR="0058545B" w:rsidRDefault="0058545B" w:rsidP="006A27B2">
            <w:pPr>
              <w:shd w:val="clear" w:color="auto" w:fill="FFFFFF"/>
              <w:jc w:val="both"/>
            </w:pPr>
            <w:r>
              <w:t xml:space="preserve">1. Запас по фазе. </w:t>
            </w:r>
          </w:p>
          <w:p w:rsidR="0058545B" w:rsidRDefault="0058545B" w:rsidP="006A27B2">
            <w:pPr>
              <w:shd w:val="clear" w:color="auto" w:fill="FFFFFF"/>
              <w:jc w:val="both"/>
            </w:pPr>
            <w:r>
              <w:t xml:space="preserve">2. Запас по амплитуде. </w:t>
            </w:r>
          </w:p>
          <w:p w:rsidR="0058545B" w:rsidRDefault="0058545B" w:rsidP="006A27B2">
            <w:pPr>
              <w:shd w:val="clear" w:color="auto" w:fill="FFFFFF"/>
              <w:jc w:val="both"/>
            </w:pPr>
            <w:r>
              <w:t xml:space="preserve">3. Время компиляции проекта. </w:t>
            </w:r>
          </w:p>
          <w:p w:rsidR="002F2074" w:rsidRPr="0007011B" w:rsidRDefault="0058545B" w:rsidP="006A27B2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4. Величину опорного напряжения АЦП</w:t>
            </w:r>
          </w:p>
        </w:tc>
        <w:tc>
          <w:tcPr>
            <w:tcW w:w="1650" w:type="dxa"/>
          </w:tcPr>
          <w:p w:rsidR="002F2074" w:rsidRPr="0007011B" w:rsidRDefault="00036316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9.</w:t>
            </w:r>
          </w:p>
        </w:tc>
        <w:tc>
          <w:tcPr>
            <w:tcW w:w="12437" w:type="dxa"/>
          </w:tcPr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Как корректно задать источник шума при моделировании полосового приёмника?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1. Добавить белый шум к источнику сигнала и оценить SNR на выходе.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2. Уменьшить шаг интегрирования.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3. Включить сглаживание графиков. </w:t>
            </w:r>
          </w:p>
          <w:p w:rsidR="002F2074" w:rsidRPr="0007011B" w:rsidRDefault="0058545B" w:rsidP="00B3743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4. Пересчитать частоту Найквиста.</w:t>
            </w:r>
          </w:p>
        </w:tc>
        <w:tc>
          <w:tcPr>
            <w:tcW w:w="1650" w:type="dxa"/>
          </w:tcPr>
          <w:p w:rsidR="002F2074" w:rsidRPr="0007011B" w:rsidRDefault="00036316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10</w:t>
            </w:r>
          </w:p>
        </w:tc>
        <w:tc>
          <w:tcPr>
            <w:tcW w:w="12437" w:type="dxa"/>
          </w:tcPr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Что характерно для SDR-подхода при лабораторной работе с помощью ПО (GNU </w:t>
            </w:r>
            <w:proofErr w:type="spellStart"/>
            <w:r>
              <w:t>Radio</w:t>
            </w:r>
            <w:proofErr w:type="spellEnd"/>
            <w:r>
              <w:t xml:space="preserve"> и аналоги)?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1. </w:t>
            </w:r>
            <w:proofErr w:type="spellStart"/>
            <w:r>
              <w:t>Радиотракт</w:t>
            </w:r>
            <w:proofErr w:type="spellEnd"/>
            <w:r>
              <w:t xml:space="preserve"> реализуется как поток блоков обработки.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2. Параметры (частота, полоса) меняются </w:t>
            </w:r>
            <w:proofErr w:type="spellStart"/>
            <w:r>
              <w:t>программно</w:t>
            </w:r>
            <w:proofErr w:type="spellEnd"/>
            <w:r>
              <w:t xml:space="preserve">. </w:t>
            </w:r>
          </w:p>
          <w:p w:rsidR="0058545B" w:rsidRDefault="0058545B" w:rsidP="00B37439">
            <w:pPr>
              <w:shd w:val="clear" w:color="auto" w:fill="FFFFFF"/>
              <w:jc w:val="both"/>
            </w:pPr>
            <w:r>
              <w:t xml:space="preserve">3. Все фильтры реализуются только аналоговыми LC-цепями. </w:t>
            </w:r>
          </w:p>
          <w:p w:rsidR="002F2074" w:rsidRPr="0007011B" w:rsidRDefault="0058545B" w:rsidP="00B3743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4. Нужен обязательно механический гетеродин.</w:t>
            </w:r>
          </w:p>
        </w:tc>
        <w:tc>
          <w:tcPr>
            <w:tcW w:w="1650" w:type="dxa"/>
          </w:tcPr>
          <w:p w:rsidR="002F2074" w:rsidRPr="0007011B" w:rsidRDefault="00036316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07D6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11</w:t>
            </w:r>
          </w:p>
        </w:tc>
        <w:tc>
          <w:tcPr>
            <w:tcW w:w="12437" w:type="dxa"/>
          </w:tcPr>
          <w:p w:rsidR="005419F7" w:rsidRDefault="005419F7" w:rsidP="00B37439">
            <w:pPr>
              <w:shd w:val="clear" w:color="auto" w:fill="FFFFFF"/>
              <w:jc w:val="both"/>
              <w:textAlignment w:val="baseline"/>
            </w:pPr>
            <w:r>
              <w:t xml:space="preserve">Какой закон вы используете для расчёта токов в узлах линейной схемы при известной проводимости ветвей? </w:t>
            </w:r>
          </w:p>
          <w:p w:rsidR="005419F7" w:rsidRDefault="005419F7" w:rsidP="00B37439">
            <w:pPr>
              <w:shd w:val="clear" w:color="auto" w:fill="FFFFFF"/>
              <w:jc w:val="both"/>
              <w:textAlignment w:val="baseline"/>
            </w:pPr>
            <w:r>
              <w:t xml:space="preserve">1. Закон Ома для участка цепи </w:t>
            </w:r>
          </w:p>
          <w:p w:rsidR="005419F7" w:rsidRDefault="005419F7" w:rsidP="00B37439">
            <w:pPr>
              <w:shd w:val="clear" w:color="auto" w:fill="FFFFFF"/>
              <w:jc w:val="both"/>
              <w:textAlignment w:val="baseline"/>
            </w:pPr>
            <w:r>
              <w:t xml:space="preserve">2. Первый закон Кирхгофа (законы узлов) </w:t>
            </w:r>
          </w:p>
          <w:p w:rsidR="005419F7" w:rsidRDefault="005419F7" w:rsidP="00B37439">
            <w:pPr>
              <w:shd w:val="clear" w:color="auto" w:fill="FFFFFF"/>
              <w:jc w:val="both"/>
              <w:textAlignment w:val="baseline"/>
            </w:pPr>
            <w:r>
              <w:t xml:space="preserve">3. Закон </w:t>
            </w:r>
            <w:proofErr w:type="spellStart"/>
            <w:r>
              <w:t>Био</w:t>
            </w:r>
            <w:proofErr w:type="spellEnd"/>
            <w:r>
              <w:t>—</w:t>
            </w:r>
            <w:proofErr w:type="spellStart"/>
            <w:r>
              <w:t>Савара</w:t>
            </w:r>
            <w:proofErr w:type="spellEnd"/>
            <w:r>
              <w:t xml:space="preserve">—Лапласа </w:t>
            </w:r>
          </w:p>
          <w:p w:rsidR="002F2074" w:rsidRPr="0007011B" w:rsidRDefault="005419F7" w:rsidP="00B3743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4. Закон Фарадея</w:t>
            </w:r>
            <w:r w:rsidR="00B37439">
              <w:t xml:space="preserve">. </w:t>
            </w:r>
          </w:p>
        </w:tc>
        <w:tc>
          <w:tcPr>
            <w:tcW w:w="1650" w:type="dxa"/>
          </w:tcPr>
          <w:p w:rsidR="002F2074" w:rsidRPr="0007011B" w:rsidRDefault="00036316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12.</w:t>
            </w:r>
          </w:p>
        </w:tc>
        <w:tc>
          <w:tcPr>
            <w:tcW w:w="12437" w:type="dxa"/>
          </w:tcPr>
          <w:p w:rsidR="005419F7" w:rsidRDefault="005419F7" w:rsidP="00B37439">
            <w:pPr>
              <w:shd w:val="clear" w:color="auto" w:fill="FFFFFF"/>
              <w:jc w:val="both"/>
              <w:textAlignment w:val="baseline"/>
            </w:pPr>
            <w:r>
              <w:t xml:space="preserve">Для замены сложной пассивной подсхемы источником с эквивалентными параметрами применяются модели: </w:t>
            </w:r>
          </w:p>
          <w:p w:rsidR="005419F7" w:rsidRDefault="005419F7" w:rsidP="00B37439">
            <w:pPr>
              <w:shd w:val="clear" w:color="auto" w:fill="FFFFFF"/>
              <w:jc w:val="both"/>
              <w:textAlignment w:val="baseline"/>
            </w:pPr>
            <w:r>
              <w:t xml:space="preserve">1. </w:t>
            </w:r>
            <w:proofErr w:type="spellStart"/>
            <w:r>
              <w:t>Тевенина</w:t>
            </w:r>
            <w:proofErr w:type="spellEnd"/>
            <w:r>
              <w:t xml:space="preserve"> (эквивалентное напряжение и сопротивление) </w:t>
            </w:r>
          </w:p>
          <w:p w:rsidR="005419F7" w:rsidRDefault="005419F7" w:rsidP="00B37439">
            <w:pPr>
              <w:shd w:val="clear" w:color="auto" w:fill="FFFFFF"/>
              <w:jc w:val="both"/>
              <w:textAlignment w:val="baseline"/>
            </w:pPr>
            <w:r>
              <w:t xml:space="preserve">2. Нортона (эквивалентный ток и проводимость) </w:t>
            </w:r>
          </w:p>
          <w:p w:rsidR="005419F7" w:rsidRDefault="005419F7" w:rsidP="00B37439">
            <w:pPr>
              <w:shd w:val="clear" w:color="auto" w:fill="FFFFFF"/>
              <w:jc w:val="both"/>
              <w:textAlignment w:val="baseline"/>
            </w:pPr>
            <w:r>
              <w:t xml:space="preserve">3. Дебая (поляризационная дисперсия) </w:t>
            </w:r>
          </w:p>
          <w:p w:rsidR="00E07D67" w:rsidRPr="0007011B" w:rsidRDefault="005419F7" w:rsidP="00B3743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4. Пуассона (статистика шумов)</w:t>
            </w:r>
          </w:p>
        </w:tc>
        <w:tc>
          <w:tcPr>
            <w:tcW w:w="1650" w:type="dxa"/>
          </w:tcPr>
          <w:p w:rsidR="00E07D67" w:rsidRPr="0007011B" w:rsidRDefault="00036316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13.</w:t>
            </w:r>
          </w:p>
        </w:tc>
        <w:tc>
          <w:tcPr>
            <w:tcW w:w="12437" w:type="dxa"/>
          </w:tcPr>
          <w:p w:rsidR="008F12E0" w:rsidRDefault="008F12E0" w:rsidP="0007011B">
            <w:pPr>
              <w:shd w:val="clear" w:color="auto" w:fill="FFFFFF"/>
              <w:jc w:val="both"/>
              <w:textAlignment w:val="baseline"/>
            </w:pPr>
            <w:r>
              <w:t xml:space="preserve">Для линии передачи длиной λ/4, нагруженной на короткое замыкание, входное сопротивление на рабочей частоте будет: </w:t>
            </w:r>
          </w:p>
          <w:p w:rsidR="008F12E0" w:rsidRDefault="008F12E0" w:rsidP="0007011B">
            <w:pPr>
              <w:shd w:val="clear" w:color="auto" w:fill="FFFFFF"/>
              <w:jc w:val="both"/>
              <w:textAlignment w:val="baseline"/>
            </w:pPr>
            <w:r>
              <w:t xml:space="preserve">1. Бесконечно большим (разомкнутая эквивалентность) </w:t>
            </w:r>
          </w:p>
          <w:p w:rsidR="008F12E0" w:rsidRDefault="008F12E0" w:rsidP="0007011B">
            <w:pPr>
              <w:shd w:val="clear" w:color="auto" w:fill="FFFFFF"/>
              <w:jc w:val="both"/>
              <w:textAlignment w:val="baseline"/>
            </w:pPr>
            <w:r>
              <w:t xml:space="preserve">2. Нулевым </w:t>
            </w:r>
          </w:p>
          <w:p w:rsidR="008F12E0" w:rsidRDefault="008F12E0" w:rsidP="0007011B">
            <w:pPr>
              <w:shd w:val="clear" w:color="auto" w:fill="FFFFFF"/>
              <w:jc w:val="both"/>
              <w:textAlignment w:val="baseline"/>
            </w:pPr>
            <w:r>
              <w:t xml:space="preserve">3. Чисто реактивным с индуктивной природой </w:t>
            </w:r>
          </w:p>
          <w:p w:rsidR="00E07D67" w:rsidRPr="0007011B" w:rsidRDefault="008F12E0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4. Равно волновому сопротивлению</w:t>
            </w:r>
          </w:p>
        </w:tc>
        <w:tc>
          <w:tcPr>
            <w:tcW w:w="1650" w:type="dxa"/>
          </w:tcPr>
          <w:p w:rsidR="00E07D67" w:rsidRPr="0007011B" w:rsidRDefault="00036316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14.</w:t>
            </w:r>
          </w:p>
        </w:tc>
        <w:tc>
          <w:tcPr>
            <w:tcW w:w="12437" w:type="dxa"/>
          </w:tcPr>
          <w:p w:rsidR="008F12E0" w:rsidRDefault="008F12E0" w:rsidP="00B37439">
            <w:pPr>
              <w:shd w:val="clear" w:color="auto" w:fill="FFFFFF"/>
              <w:jc w:val="both"/>
              <w:textAlignment w:val="baseline"/>
            </w:pPr>
            <w:r>
              <w:t xml:space="preserve">В модели гармонического резонансного контура (RLC) резонансная частота и добротность определяются: </w:t>
            </w:r>
          </w:p>
          <w:p w:rsidR="008F12E0" w:rsidRDefault="008F12E0" w:rsidP="00B37439">
            <w:pPr>
              <w:shd w:val="clear" w:color="auto" w:fill="FFFFFF"/>
              <w:jc w:val="both"/>
              <w:textAlignment w:val="baseline"/>
            </w:pPr>
            <w:r>
              <w:t>1. f</w:t>
            </w:r>
            <w:r>
              <w:rPr>
                <w:rFonts w:ascii="Cambria Math" w:hAnsi="Cambria Math" w:cs="Cambria Math"/>
              </w:rPr>
              <w:t>₀</w:t>
            </w:r>
            <w:r>
              <w:t xml:space="preserve"> = 1/(2π√(LC)) </w:t>
            </w:r>
          </w:p>
          <w:p w:rsidR="008F12E0" w:rsidRDefault="008F12E0" w:rsidP="00B37439">
            <w:pPr>
              <w:shd w:val="clear" w:color="auto" w:fill="FFFFFF"/>
              <w:jc w:val="both"/>
              <w:textAlignment w:val="baseline"/>
            </w:pPr>
            <w:r>
              <w:t xml:space="preserve">2. Q ≈ </w:t>
            </w:r>
            <w:proofErr w:type="spellStart"/>
            <w:r>
              <w:t>ω</w:t>
            </w:r>
            <w:r>
              <w:rPr>
                <w:rFonts w:ascii="Cambria Math" w:hAnsi="Cambria Math" w:cs="Cambria Math"/>
              </w:rPr>
              <w:t>₀</w:t>
            </w:r>
            <w:r>
              <w:t>L</w:t>
            </w:r>
            <w:proofErr w:type="spellEnd"/>
            <w:r>
              <w:t xml:space="preserve">/R (для последовательного контура) </w:t>
            </w:r>
          </w:p>
          <w:p w:rsidR="008F12E0" w:rsidRDefault="008F12E0" w:rsidP="00B37439">
            <w:pPr>
              <w:shd w:val="clear" w:color="auto" w:fill="FFFFFF"/>
              <w:jc w:val="both"/>
              <w:textAlignment w:val="baseline"/>
            </w:pPr>
            <w:r>
              <w:t>3. Q ≈ R/</w:t>
            </w:r>
            <w:proofErr w:type="spellStart"/>
            <w:r>
              <w:t>ω</w:t>
            </w:r>
            <w:r>
              <w:rPr>
                <w:rFonts w:ascii="Cambria Math" w:hAnsi="Cambria Math" w:cs="Cambria Math"/>
              </w:rPr>
              <w:t>₀</w:t>
            </w:r>
            <w:r>
              <w:t>L</w:t>
            </w:r>
            <w:proofErr w:type="spellEnd"/>
            <w:r>
              <w:t xml:space="preserve"> (для последовательного контура) </w:t>
            </w:r>
          </w:p>
          <w:p w:rsidR="00E07D67" w:rsidRPr="0007011B" w:rsidRDefault="008F12E0" w:rsidP="00B3743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4. f</w:t>
            </w:r>
            <w:r>
              <w:rPr>
                <w:rFonts w:ascii="Cambria Math" w:hAnsi="Cambria Math" w:cs="Cambria Math"/>
              </w:rPr>
              <w:t>₀</w:t>
            </w:r>
            <w:r>
              <w:t xml:space="preserve"> = 1/(2πRC)</w:t>
            </w:r>
          </w:p>
        </w:tc>
        <w:tc>
          <w:tcPr>
            <w:tcW w:w="1650" w:type="dxa"/>
          </w:tcPr>
          <w:p w:rsidR="00E07D67" w:rsidRPr="0007011B" w:rsidRDefault="00036316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1,2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15</w:t>
            </w:r>
          </w:p>
        </w:tc>
        <w:tc>
          <w:tcPr>
            <w:tcW w:w="12437" w:type="dxa"/>
          </w:tcPr>
          <w:p w:rsidR="008F12E0" w:rsidRDefault="008F12E0" w:rsidP="00B37439">
            <w:pPr>
              <w:shd w:val="clear" w:color="auto" w:fill="FFFFFF"/>
              <w:jc w:val="both"/>
              <w:textAlignment w:val="baseline"/>
            </w:pPr>
            <w:r>
              <w:t xml:space="preserve">Какая физическая величина описывает поток электромагнитной энергии через поверхность? </w:t>
            </w:r>
          </w:p>
          <w:p w:rsidR="008F12E0" w:rsidRDefault="008F12E0" w:rsidP="00B37439">
            <w:pPr>
              <w:shd w:val="clear" w:color="auto" w:fill="FFFFFF"/>
              <w:jc w:val="both"/>
              <w:textAlignment w:val="baseline"/>
            </w:pPr>
            <w:r>
              <w:t xml:space="preserve">1. Вектор </w:t>
            </w:r>
            <w:proofErr w:type="spellStart"/>
            <w:r>
              <w:t>Пойнтинга</w:t>
            </w:r>
            <w:proofErr w:type="spellEnd"/>
          </w:p>
          <w:p w:rsidR="008F12E0" w:rsidRDefault="008F12E0" w:rsidP="00B37439">
            <w:pPr>
              <w:shd w:val="clear" w:color="auto" w:fill="FFFFFF"/>
              <w:jc w:val="both"/>
              <w:textAlignment w:val="baseline"/>
            </w:pPr>
            <w:r>
              <w:t xml:space="preserve">2. Плотность тока проводимости </w:t>
            </w:r>
          </w:p>
          <w:p w:rsidR="008F12E0" w:rsidRDefault="008F12E0" w:rsidP="00B37439">
            <w:pPr>
              <w:shd w:val="clear" w:color="auto" w:fill="FFFFFF"/>
              <w:jc w:val="both"/>
              <w:textAlignment w:val="baseline"/>
            </w:pPr>
            <w:r>
              <w:t xml:space="preserve">3. Магнитный потенциал </w:t>
            </w:r>
          </w:p>
          <w:p w:rsidR="00E07D67" w:rsidRPr="0007011B" w:rsidRDefault="008F12E0" w:rsidP="00B3743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4. Электрический потенциал</w:t>
            </w:r>
            <w:r w:rsidR="00B37439">
              <w:t xml:space="preserve">. </w:t>
            </w:r>
          </w:p>
        </w:tc>
        <w:tc>
          <w:tcPr>
            <w:tcW w:w="1650" w:type="dxa"/>
          </w:tcPr>
          <w:p w:rsidR="00E07D67" w:rsidRPr="0007011B" w:rsidRDefault="00D20A41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16.</w:t>
            </w:r>
          </w:p>
        </w:tc>
        <w:tc>
          <w:tcPr>
            <w:tcW w:w="12437" w:type="dxa"/>
          </w:tcPr>
          <w:p w:rsidR="008F12E0" w:rsidRDefault="008F12E0" w:rsidP="00B37439">
            <w:pPr>
              <w:shd w:val="clear" w:color="auto" w:fill="FFFFFF"/>
              <w:jc w:val="both"/>
            </w:pPr>
            <w:r>
              <w:t xml:space="preserve">Модель скин-эффекта в проводнике на высокой частоте учитывает: </w:t>
            </w:r>
          </w:p>
          <w:p w:rsidR="008F12E0" w:rsidRDefault="008F12E0" w:rsidP="00B37439">
            <w:pPr>
              <w:shd w:val="clear" w:color="auto" w:fill="FFFFFF"/>
              <w:jc w:val="both"/>
            </w:pPr>
            <w:r>
              <w:t xml:space="preserve">1. Снижение эффективной площади проводника для тока </w:t>
            </w:r>
          </w:p>
          <w:p w:rsidR="008F12E0" w:rsidRDefault="008F12E0" w:rsidP="00B37439">
            <w:pPr>
              <w:shd w:val="clear" w:color="auto" w:fill="FFFFFF"/>
              <w:jc w:val="both"/>
            </w:pPr>
            <w:r>
              <w:t xml:space="preserve">2. Рост поверхностного сопротивления ~ √f </w:t>
            </w:r>
          </w:p>
          <w:p w:rsidR="008F12E0" w:rsidRDefault="008F12E0" w:rsidP="00B37439">
            <w:pPr>
              <w:shd w:val="clear" w:color="auto" w:fill="FFFFFF"/>
              <w:jc w:val="both"/>
            </w:pPr>
            <w:r>
              <w:t xml:space="preserve">3. Переход проводника в сверхпроводимость при высокой f </w:t>
            </w:r>
          </w:p>
          <w:p w:rsidR="00E07D67" w:rsidRPr="0007011B" w:rsidRDefault="008F12E0" w:rsidP="00B3743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4. Независимость потерь от частоты</w:t>
            </w:r>
            <w:r w:rsidR="00B37439">
              <w:t xml:space="preserve">. </w:t>
            </w:r>
          </w:p>
        </w:tc>
        <w:tc>
          <w:tcPr>
            <w:tcW w:w="1650" w:type="dxa"/>
          </w:tcPr>
          <w:p w:rsidR="00E07D67" w:rsidRPr="0007011B" w:rsidRDefault="00D20A41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17</w:t>
            </w:r>
          </w:p>
        </w:tc>
        <w:tc>
          <w:tcPr>
            <w:tcW w:w="12437" w:type="dxa"/>
          </w:tcPr>
          <w:p w:rsidR="008F12E0" w:rsidRDefault="008F12E0" w:rsidP="00B37439">
            <w:pPr>
              <w:shd w:val="clear" w:color="auto" w:fill="FFFFFF"/>
              <w:jc w:val="both"/>
              <w:textAlignment w:val="baseline"/>
            </w:pPr>
            <w:r>
              <w:t xml:space="preserve">Условие бегущей ЭМ-волны в однородной среде задаётся уравнением: </w:t>
            </w:r>
          </w:p>
          <w:p w:rsidR="008F12E0" w:rsidRDefault="008F12E0" w:rsidP="00B37439">
            <w:pPr>
              <w:shd w:val="clear" w:color="auto" w:fill="FFFFFF"/>
              <w:jc w:val="both"/>
              <w:textAlignment w:val="baseline"/>
            </w:pPr>
            <w:r>
              <w:t xml:space="preserve">1. </w:t>
            </w:r>
            <w:r>
              <w:rPr>
                <w:rFonts w:ascii="Cambria Math" w:hAnsi="Cambria Math" w:cs="Cambria Math"/>
              </w:rPr>
              <w:t>∇</w:t>
            </w:r>
            <w:r>
              <w:t xml:space="preserve">•E = ρ/ε </w:t>
            </w:r>
          </w:p>
          <w:p w:rsidR="008F12E0" w:rsidRDefault="008F12E0" w:rsidP="00B37439">
            <w:pPr>
              <w:shd w:val="clear" w:color="auto" w:fill="FFFFFF"/>
              <w:jc w:val="both"/>
              <w:textAlignment w:val="baseline"/>
            </w:pPr>
            <w:r>
              <w:t xml:space="preserve">2. </w:t>
            </w:r>
            <w:r>
              <w:rPr>
                <w:rFonts w:ascii="Cambria Math" w:hAnsi="Cambria Math" w:cs="Cambria Math"/>
              </w:rPr>
              <w:t>∇</w:t>
            </w:r>
            <w:r>
              <w:t xml:space="preserve">×E = −∂B/∂t </w:t>
            </w:r>
          </w:p>
          <w:p w:rsidR="008F12E0" w:rsidRDefault="008F12E0" w:rsidP="00B37439">
            <w:pPr>
              <w:shd w:val="clear" w:color="auto" w:fill="FFFFFF"/>
              <w:jc w:val="both"/>
              <w:textAlignment w:val="baseline"/>
            </w:pPr>
            <w:r>
              <w:t xml:space="preserve">3. </w:t>
            </w:r>
            <w:r>
              <w:rPr>
                <w:rFonts w:ascii="Cambria Math" w:hAnsi="Cambria Math" w:cs="Cambria Math"/>
              </w:rPr>
              <w:t>∇</w:t>
            </w:r>
            <w:r>
              <w:t xml:space="preserve">²E − </w:t>
            </w:r>
            <w:proofErr w:type="spellStart"/>
            <w:r>
              <w:t>με</w:t>
            </w:r>
            <w:proofErr w:type="spellEnd"/>
            <w:r>
              <w:t xml:space="preserve"> ∂²E/∂t² = 0 </w:t>
            </w:r>
          </w:p>
          <w:p w:rsidR="00E07D67" w:rsidRPr="0007011B" w:rsidRDefault="008F12E0" w:rsidP="00B3743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 xml:space="preserve">4. </w:t>
            </w:r>
            <w:r>
              <w:rPr>
                <w:rFonts w:ascii="Cambria Math" w:hAnsi="Cambria Math" w:cs="Cambria Math"/>
              </w:rPr>
              <w:t>∇</w:t>
            </w:r>
            <w:r>
              <w:t>×H = J + ∂D/∂</w:t>
            </w:r>
          </w:p>
        </w:tc>
        <w:tc>
          <w:tcPr>
            <w:tcW w:w="1650" w:type="dxa"/>
          </w:tcPr>
          <w:p w:rsidR="00E07D67" w:rsidRPr="0007011B" w:rsidRDefault="00036316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582E3E" w:rsidRPr="0007011B" w:rsidTr="0007011B">
        <w:tc>
          <w:tcPr>
            <w:tcW w:w="699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18</w:t>
            </w:r>
          </w:p>
        </w:tc>
        <w:tc>
          <w:tcPr>
            <w:tcW w:w="12437" w:type="dxa"/>
          </w:tcPr>
          <w:p w:rsidR="008F12E0" w:rsidRDefault="008F12E0" w:rsidP="00B37439">
            <w:pPr>
              <w:shd w:val="clear" w:color="auto" w:fill="FFFFFF"/>
              <w:jc w:val="both"/>
            </w:pPr>
            <w:r>
              <w:t xml:space="preserve">Как изменится резонансная частота последовательного RLC при удвоении индуктивности и ёмкости одновременно </w:t>
            </w:r>
          </w:p>
          <w:p w:rsidR="008F12E0" w:rsidRDefault="008F12E0" w:rsidP="00B37439">
            <w:pPr>
              <w:shd w:val="clear" w:color="auto" w:fill="FFFFFF"/>
              <w:jc w:val="both"/>
            </w:pPr>
            <w:r>
              <w:t xml:space="preserve">1. Не изменится </w:t>
            </w:r>
          </w:p>
          <w:p w:rsidR="008F12E0" w:rsidRDefault="008F12E0" w:rsidP="00B37439">
            <w:pPr>
              <w:shd w:val="clear" w:color="auto" w:fill="FFFFFF"/>
              <w:jc w:val="both"/>
            </w:pPr>
            <w:r>
              <w:t xml:space="preserve">2. Уменьшится в 2 раза </w:t>
            </w:r>
          </w:p>
          <w:p w:rsidR="008F12E0" w:rsidRDefault="008F12E0" w:rsidP="00B37439">
            <w:pPr>
              <w:shd w:val="clear" w:color="auto" w:fill="FFFFFF"/>
              <w:jc w:val="both"/>
            </w:pPr>
            <w:r>
              <w:t xml:space="preserve">3. Увеличится в 2 раза </w:t>
            </w:r>
          </w:p>
          <w:p w:rsidR="00582E3E" w:rsidRPr="0007011B" w:rsidRDefault="008F12E0" w:rsidP="00B3743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4. Изменится в √2 раза</w:t>
            </w:r>
          </w:p>
        </w:tc>
        <w:tc>
          <w:tcPr>
            <w:tcW w:w="1650" w:type="dxa"/>
          </w:tcPr>
          <w:p w:rsidR="00582E3E" w:rsidRPr="0007011B" w:rsidRDefault="00036316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</w:tbl>
    <w:p w:rsidR="008C3695" w:rsidRDefault="008C3695" w:rsidP="00506749">
      <w:pPr>
        <w:jc w:val="both"/>
        <w:rPr>
          <w:rFonts w:eastAsia="Times New Roman"/>
          <w:b/>
        </w:rPr>
      </w:pPr>
    </w:p>
    <w:sectPr w:rsidR="008C3695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105" w:rsidRDefault="00487105">
      <w:r>
        <w:separator/>
      </w:r>
    </w:p>
  </w:endnote>
  <w:endnote w:type="continuationSeparator" w:id="0">
    <w:p w:rsidR="00487105" w:rsidRDefault="0048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105" w:rsidRDefault="00487105">
      <w:r>
        <w:separator/>
      </w:r>
    </w:p>
  </w:footnote>
  <w:footnote w:type="continuationSeparator" w:id="0">
    <w:p w:rsidR="00487105" w:rsidRDefault="00487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22FC5"/>
    <w:rsid w:val="00024181"/>
    <w:rsid w:val="00036316"/>
    <w:rsid w:val="0007011B"/>
    <w:rsid w:val="00073474"/>
    <w:rsid w:val="001819A5"/>
    <w:rsid w:val="001A504F"/>
    <w:rsid w:val="001A6BB0"/>
    <w:rsid w:val="001C5906"/>
    <w:rsid w:val="002425F6"/>
    <w:rsid w:val="00256DC8"/>
    <w:rsid w:val="002E2A7B"/>
    <w:rsid w:val="002F2074"/>
    <w:rsid w:val="002F21A6"/>
    <w:rsid w:val="00312DA6"/>
    <w:rsid w:val="00333858"/>
    <w:rsid w:val="00357697"/>
    <w:rsid w:val="00420002"/>
    <w:rsid w:val="00487105"/>
    <w:rsid w:val="005027AF"/>
    <w:rsid w:val="00506749"/>
    <w:rsid w:val="005419F7"/>
    <w:rsid w:val="00574D08"/>
    <w:rsid w:val="00582E3E"/>
    <w:rsid w:val="0058545B"/>
    <w:rsid w:val="005B2B49"/>
    <w:rsid w:val="005F58CC"/>
    <w:rsid w:val="00612921"/>
    <w:rsid w:val="00615DEE"/>
    <w:rsid w:val="006402C2"/>
    <w:rsid w:val="006A27B2"/>
    <w:rsid w:val="007202B3"/>
    <w:rsid w:val="007631E0"/>
    <w:rsid w:val="007C02EB"/>
    <w:rsid w:val="007D4622"/>
    <w:rsid w:val="00842F25"/>
    <w:rsid w:val="00896F04"/>
    <w:rsid w:val="008C1824"/>
    <w:rsid w:val="008C3695"/>
    <w:rsid w:val="008F12E0"/>
    <w:rsid w:val="0090710A"/>
    <w:rsid w:val="009133EF"/>
    <w:rsid w:val="00932507"/>
    <w:rsid w:val="00974AD3"/>
    <w:rsid w:val="00A605B0"/>
    <w:rsid w:val="00A71CC5"/>
    <w:rsid w:val="00A76F5B"/>
    <w:rsid w:val="00AB05D4"/>
    <w:rsid w:val="00B109C8"/>
    <w:rsid w:val="00B30713"/>
    <w:rsid w:val="00B37439"/>
    <w:rsid w:val="00B44C33"/>
    <w:rsid w:val="00B87919"/>
    <w:rsid w:val="00C07BBC"/>
    <w:rsid w:val="00C46D62"/>
    <w:rsid w:val="00CD09C0"/>
    <w:rsid w:val="00CF0C05"/>
    <w:rsid w:val="00D20A41"/>
    <w:rsid w:val="00D20DD1"/>
    <w:rsid w:val="00D30B72"/>
    <w:rsid w:val="00D377CC"/>
    <w:rsid w:val="00D50B43"/>
    <w:rsid w:val="00D6473F"/>
    <w:rsid w:val="00DE33EB"/>
    <w:rsid w:val="00E07D67"/>
    <w:rsid w:val="00E264B7"/>
    <w:rsid w:val="00E45A51"/>
    <w:rsid w:val="00E63801"/>
    <w:rsid w:val="00EE0CFF"/>
    <w:rsid w:val="00EF4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FF0AA"/>
  <w15:docId w15:val="{7DE676D5-B90D-4A8E-8290-AC39F7AF2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5AE68-0EDC-4423-8197-5355313A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Comp-112-01</cp:lastModifiedBy>
  <cp:revision>35</cp:revision>
  <cp:lastPrinted>2025-12-06T12:43:00Z</cp:lastPrinted>
  <dcterms:created xsi:type="dcterms:W3CDTF">2024-11-21T07:14:00Z</dcterms:created>
  <dcterms:modified xsi:type="dcterms:W3CDTF">2026-03-17T18:47:00Z</dcterms:modified>
</cp:coreProperties>
</file>